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4DCE4786" w:rsidR="00435F5E" w:rsidRDefault="00C84A4F" w:rsidP="00AE1D1C">
      <w:pPr>
        <w:jc w:val="center"/>
        <w:rPr>
          <w:rFonts w:ascii="Arial Black" w:hAnsi="Arial Black"/>
          <w:sz w:val="12"/>
          <w:szCs w:val="12"/>
          <w:u w:val="single"/>
        </w:rPr>
      </w:pPr>
      <w:r w:rsidRPr="00C84A4F">
        <w:rPr>
          <w:rFonts w:ascii="Arial" w:hAnsi="Arial" w:cs="Arial"/>
          <w:b/>
          <w:bCs/>
          <w:color w:val="2E74B5"/>
          <w:sz w:val="28"/>
          <w:szCs w:val="28"/>
        </w:rPr>
        <w:t>Hotel Květnice – 3. etapa</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69383481" w:rsidR="00E4269C" w:rsidRDefault="00C84A4F" w:rsidP="00B600D2">
      <w:pPr>
        <w:jc w:val="center"/>
        <w:rPr>
          <w:rFonts w:ascii="Arial" w:hAnsi="Arial" w:cs="Arial"/>
          <w:b/>
          <w:caps/>
          <w:color w:val="2E74B5"/>
          <w:sz w:val="24"/>
          <w:szCs w:val="18"/>
        </w:rPr>
      </w:pPr>
      <w:r w:rsidRPr="00C84A4F">
        <w:rPr>
          <w:rFonts w:ascii="Arial" w:hAnsi="Arial" w:cs="Arial"/>
          <w:b/>
          <w:bCs/>
          <w:color w:val="2E74B5"/>
          <w:sz w:val="28"/>
          <w:szCs w:val="28"/>
        </w:rPr>
        <w:t>Hotel Květnice – 3. etapa</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54F6D"/>
    <w:rsid w:val="003612E2"/>
    <w:rsid w:val="00361307"/>
    <w:rsid w:val="00362AD6"/>
    <w:rsid w:val="0036405A"/>
    <w:rsid w:val="003B5898"/>
    <w:rsid w:val="003D15BD"/>
    <w:rsid w:val="003D796A"/>
    <w:rsid w:val="0041526D"/>
    <w:rsid w:val="004237FF"/>
    <w:rsid w:val="004305A5"/>
    <w:rsid w:val="00435F5E"/>
    <w:rsid w:val="00440444"/>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5060D"/>
    <w:rsid w:val="00663E91"/>
    <w:rsid w:val="00667C9C"/>
    <w:rsid w:val="0068247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924A8"/>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75DD3"/>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4A4F"/>
    <w:rsid w:val="00C86E5F"/>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1030</Words>
  <Characters>6082</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5</cp:revision>
  <dcterms:created xsi:type="dcterms:W3CDTF">2022-05-19T08:18:00Z</dcterms:created>
  <dcterms:modified xsi:type="dcterms:W3CDTF">2025-05-21T14:25:00Z</dcterms:modified>
</cp:coreProperties>
</file>